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E433D" w14:textId="5642178D" w:rsidR="006B2FD9" w:rsidRDefault="00330983">
      <w:pPr>
        <w:rPr>
          <w:b/>
          <w:bCs/>
          <w:sz w:val="28"/>
          <w:szCs w:val="28"/>
        </w:rPr>
      </w:pPr>
      <w:r w:rsidRPr="006B2FD9">
        <w:rPr>
          <w:b/>
          <w:bCs/>
          <w:sz w:val="28"/>
          <w:szCs w:val="28"/>
        </w:rPr>
        <w:t xml:space="preserve">Investment </w:t>
      </w:r>
      <w:r w:rsidR="006B2FD9" w:rsidRPr="006B2FD9">
        <w:rPr>
          <w:b/>
          <w:bCs/>
          <w:sz w:val="28"/>
          <w:szCs w:val="28"/>
        </w:rPr>
        <w:t>Portfolio Review</w:t>
      </w:r>
    </w:p>
    <w:p w14:paraId="408E7336" w14:textId="48A1CCFA" w:rsidR="00BC46C6" w:rsidRPr="00BC46C6" w:rsidRDefault="00943272">
      <w:pPr>
        <w:rPr>
          <w:sz w:val="24"/>
          <w:szCs w:val="24"/>
        </w:rPr>
      </w:pPr>
      <w:r w:rsidRPr="00C02DA1">
        <w:rPr>
          <w:sz w:val="24"/>
          <w:szCs w:val="24"/>
        </w:rPr>
        <w:t>This guide, presented in three levels of advancing complexity, explains concepts and offers points for you to consider as you review and evaluate your current investment portfolio. If you prefer knowledgeable guidance in this process</w:t>
      </w:r>
      <w:r w:rsidR="00C02DA1">
        <w:rPr>
          <w:sz w:val="24"/>
          <w:szCs w:val="24"/>
        </w:rPr>
        <w:t xml:space="preserve"> or have concerns about your investment strategy after completing this review</w:t>
      </w:r>
      <w:r w:rsidRPr="00C02DA1">
        <w:rPr>
          <w:sz w:val="24"/>
          <w:szCs w:val="24"/>
        </w:rPr>
        <w:t>, please</w:t>
      </w:r>
      <w:r>
        <w:t xml:space="preserve"> </w:t>
      </w:r>
      <w:r w:rsidR="00BC46C6">
        <w:rPr>
          <w:sz w:val="24"/>
          <w:szCs w:val="24"/>
        </w:rPr>
        <w:t xml:space="preserve">contact MPPL Financial </w:t>
      </w:r>
      <w:r w:rsidR="00C02690">
        <w:rPr>
          <w:sz w:val="24"/>
          <w:szCs w:val="24"/>
        </w:rPr>
        <w:t xml:space="preserve">at 1-800-236-6775 </w:t>
      </w:r>
      <w:r w:rsidR="00BC46C6">
        <w:rPr>
          <w:sz w:val="24"/>
          <w:szCs w:val="24"/>
        </w:rPr>
        <w:t xml:space="preserve">to schedule a </w:t>
      </w:r>
      <w:r w:rsidR="00CB0FD4" w:rsidRPr="00D24BE0">
        <w:rPr>
          <w:sz w:val="24"/>
          <w:szCs w:val="24"/>
        </w:rPr>
        <w:t>free no-obligation</w:t>
      </w:r>
      <w:r w:rsidR="00CB0FD4">
        <w:rPr>
          <w:sz w:val="24"/>
          <w:szCs w:val="24"/>
        </w:rPr>
        <w:t xml:space="preserve"> </w:t>
      </w:r>
      <w:r w:rsidR="00BC46C6">
        <w:rPr>
          <w:sz w:val="24"/>
          <w:szCs w:val="24"/>
        </w:rPr>
        <w:t>professional portfolio review.</w:t>
      </w:r>
      <w:r w:rsidR="00CB0FD4">
        <w:rPr>
          <w:sz w:val="24"/>
          <w:szCs w:val="24"/>
        </w:rPr>
        <w:t xml:space="preserve">  </w:t>
      </w:r>
    </w:p>
    <w:p w14:paraId="108438AE" w14:textId="3B7F35FD" w:rsidR="00330983" w:rsidRDefault="00330983"/>
    <w:p w14:paraId="1A470F64" w14:textId="12864E00" w:rsidR="00330983" w:rsidRPr="00CB0FD4" w:rsidRDefault="006E3F46">
      <w:pPr>
        <w:rPr>
          <w:b/>
          <w:bCs/>
          <w:u w:val="single"/>
        </w:rPr>
      </w:pPr>
      <w:r>
        <w:rPr>
          <w:b/>
          <w:bCs/>
          <w:u w:val="single"/>
        </w:rPr>
        <w:t>Level 1</w:t>
      </w:r>
    </w:p>
    <w:p w14:paraId="0A4001AC" w14:textId="6AD1B30C" w:rsidR="00704E04" w:rsidRDefault="00704E04" w:rsidP="00B3670B">
      <w:pPr>
        <w:pStyle w:val="ListParagraph"/>
        <w:numPr>
          <w:ilvl w:val="0"/>
          <w:numId w:val="1"/>
        </w:numPr>
      </w:pPr>
      <w:r w:rsidRPr="00E30D96">
        <w:rPr>
          <w:b/>
          <w:bCs/>
        </w:rPr>
        <w:t>How much risk are you taking</w:t>
      </w:r>
      <w:r w:rsidR="00BF1B55">
        <w:rPr>
          <w:b/>
          <w:bCs/>
        </w:rPr>
        <w:t>?</w:t>
      </w:r>
      <w:r>
        <w:t xml:space="preserve"> - </w:t>
      </w:r>
      <w:r w:rsidR="006B2FD9">
        <w:t xml:space="preserve">Asset </w:t>
      </w:r>
      <w:r w:rsidR="00931C3C">
        <w:t>a</w:t>
      </w:r>
      <w:r w:rsidR="006B2FD9">
        <w:t xml:space="preserve">llocation is </w:t>
      </w:r>
      <w:r w:rsidR="00461A76">
        <w:t xml:space="preserve">a </w:t>
      </w:r>
      <w:r w:rsidR="006B2FD9">
        <w:t xml:space="preserve">primary determinant of investment return and risk. </w:t>
      </w:r>
      <w:r>
        <w:t xml:space="preserve">Start by </w:t>
      </w:r>
      <w:r w:rsidR="00C02690">
        <w:t>c</w:t>
      </w:r>
      <w:r>
        <w:t xml:space="preserve">alculating </w:t>
      </w:r>
      <w:r w:rsidR="006B2FD9">
        <w:t xml:space="preserve">the percentage of your </w:t>
      </w:r>
      <w:r w:rsidR="00C87251">
        <w:t xml:space="preserve">total </w:t>
      </w:r>
      <w:r w:rsidR="006B2FD9">
        <w:t xml:space="preserve">portfolio invested in </w:t>
      </w:r>
      <w:r>
        <w:t xml:space="preserve">the major asset classes - </w:t>
      </w:r>
      <w:r w:rsidR="006B2FD9">
        <w:t xml:space="preserve">stocks, bonds, and cash. </w:t>
      </w:r>
      <w:r w:rsidR="00BF1B55">
        <w:t xml:space="preserve">Compare your current stock percentage to </w:t>
      </w:r>
      <w:r w:rsidR="00C87251">
        <w:t>the table</w:t>
      </w:r>
      <w:r w:rsidR="00BF1B55">
        <w:t xml:space="preserve"> below to determine your risk level and make sure that matches your expectations.</w:t>
      </w:r>
      <w:r w:rsidR="00C87251">
        <w:t xml:space="preserve">  </w:t>
      </w:r>
    </w:p>
    <w:tbl>
      <w:tblPr>
        <w:tblStyle w:val="TableGrid"/>
        <w:tblW w:w="0" w:type="auto"/>
        <w:tblInd w:w="720" w:type="dxa"/>
        <w:tblLook w:val="04A0" w:firstRow="1" w:lastRow="0" w:firstColumn="1" w:lastColumn="0" w:noHBand="0" w:noVBand="1"/>
      </w:tblPr>
      <w:tblGrid>
        <w:gridCol w:w="2622"/>
        <w:gridCol w:w="2686"/>
        <w:gridCol w:w="2602"/>
      </w:tblGrid>
      <w:tr w:rsidR="00BF1B55" w14:paraId="1F72F210" w14:textId="77777777" w:rsidTr="00E30D96">
        <w:tc>
          <w:tcPr>
            <w:tcW w:w="2622" w:type="dxa"/>
          </w:tcPr>
          <w:p w14:paraId="5478FDE9" w14:textId="0116B730" w:rsidR="00BF1B55" w:rsidRDefault="00BF1B55" w:rsidP="00E30D96">
            <w:r>
              <w:t>Stock Allocation Ranges</w:t>
            </w:r>
          </w:p>
        </w:tc>
        <w:tc>
          <w:tcPr>
            <w:tcW w:w="2686" w:type="dxa"/>
          </w:tcPr>
          <w:p w14:paraId="40B1C6F6" w14:textId="4A961606" w:rsidR="00BF1B55" w:rsidRDefault="00BF1B55" w:rsidP="00E30D96">
            <w:r>
              <w:t>Risk Level</w:t>
            </w:r>
          </w:p>
        </w:tc>
        <w:tc>
          <w:tcPr>
            <w:tcW w:w="2602" w:type="dxa"/>
          </w:tcPr>
          <w:p w14:paraId="7F2A93BF" w14:textId="79E7B4DF" w:rsidR="00BF1B55" w:rsidRDefault="00BF1B55" w:rsidP="00E30D96">
            <w:r>
              <w:t>Expected Return range</w:t>
            </w:r>
          </w:p>
        </w:tc>
      </w:tr>
      <w:tr w:rsidR="00BF1B55" w14:paraId="46693E13" w14:textId="77777777" w:rsidTr="00E30D96">
        <w:tc>
          <w:tcPr>
            <w:tcW w:w="2622" w:type="dxa"/>
          </w:tcPr>
          <w:p w14:paraId="17BD040A" w14:textId="0D181997" w:rsidR="00BF1B55" w:rsidRDefault="00BF1B55" w:rsidP="00E30D96">
            <w:r>
              <w:t>80-100%</w:t>
            </w:r>
          </w:p>
        </w:tc>
        <w:tc>
          <w:tcPr>
            <w:tcW w:w="2686" w:type="dxa"/>
          </w:tcPr>
          <w:p w14:paraId="4950BE43" w14:textId="7C5F3B5E" w:rsidR="00BF1B55" w:rsidRDefault="00BF1B55" w:rsidP="00E30D96">
            <w:r>
              <w:t>Aggressive Growth</w:t>
            </w:r>
          </w:p>
        </w:tc>
        <w:tc>
          <w:tcPr>
            <w:tcW w:w="2602" w:type="dxa"/>
          </w:tcPr>
          <w:p w14:paraId="399FE6E2" w14:textId="08E7EE9C" w:rsidR="00BF1B55" w:rsidRDefault="00BF1B55" w:rsidP="00E30D96">
            <w:r>
              <w:t>8-12%</w:t>
            </w:r>
          </w:p>
        </w:tc>
      </w:tr>
      <w:tr w:rsidR="00BF1B55" w14:paraId="0E1209B6" w14:textId="77777777" w:rsidTr="00E30D96">
        <w:tc>
          <w:tcPr>
            <w:tcW w:w="2622" w:type="dxa"/>
          </w:tcPr>
          <w:p w14:paraId="4E7F2DCD" w14:textId="64419F28" w:rsidR="00BF1B55" w:rsidRDefault="00BF1B55" w:rsidP="00E30D96">
            <w:r>
              <w:t>60-80%</w:t>
            </w:r>
          </w:p>
        </w:tc>
        <w:tc>
          <w:tcPr>
            <w:tcW w:w="2686" w:type="dxa"/>
          </w:tcPr>
          <w:p w14:paraId="000CF595" w14:textId="49B484D4" w:rsidR="00BF1B55" w:rsidRDefault="00BF1B55" w:rsidP="00E30D96">
            <w:r>
              <w:t>Moderate Growth</w:t>
            </w:r>
          </w:p>
        </w:tc>
        <w:tc>
          <w:tcPr>
            <w:tcW w:w="2602" w:type="dxa"/>
          </w:tcPr>
          <w:p w14:paraId="0C35FC05" w14:textId="6C68557D" w:rsidR="00BF1B55" w:rsidRDefault="00BF1B55" w:rsidP="00E30D96">
            <w:r>
              <w:t>6-8%</w:t>
            </w:r>
          </w:p>
        </w:tc>
      </w:tr>
      <w:tr w:rsidR="00BF1B55" w14:paraId="04053949" w14:textId="77777777" w:rsidTr="00E30D96">
        <w:tc>
          <w:tcPr>
            <w:tcW w:w="2622" w:type="dxa"/>
          </w:tcPr>
          <w:p w14:paraId="650B4D98" w14:textId="128742D8" w:rsidR="00BF1B55" w:rsidRDefault="00BF1B55" w:rsidP="00E30D96">
            <w:r>
              <w:t>40-60%</w:t>
            </w:r>
          </w:p>
        </w:tc>
        <w:tc>
          <w:tcPr>
            <w:tcW w:w="2686" w:type="dxa"/>
          </w:tcPr>
          <w:p w14:paraId="7DACBCFD" w14:textId="20445F97" w:rsidR="00BF1B55" w:rsidRDefault="00BF1B55" w:rsidP="00E30D96">
            <w:r>
              <w:t>Moderate</w:t>
            </w:r>
          </w:p>
        </w:tc>
        <w:tc>
          <w:tcPr>
            <w:tcW w:w="2602" w:type="dxa"/>
          </w:tcPr>
          <w:p w14:paraId="66DB3ECD" w14:textId="3D57BF99" w:rsidR="00BF1B55" w:rsidRDefault="00BF1B55" w:rsidP="00E30D96">
            <w:r>
              <w:t>4-6%</w:t>
            </w:r>
          </w:p>
        </w:tc>
      </w:tr>
      <w:tr w:rsidR="00BF1B55" w14:paraId="0BB7825F" w14:textId="77777777" w:rsidTr="00E30D96">
        <w:tc>
          <w:tcPr>
            <w:tcW w:w="2622" w:type="dxa"/>
          </w:tcPr>
          <w:p w14:paraId="57734DD4" w14:textId="6EA22D9C" w:rsidR="00BF1B55" w:rsidRDefault="00BF1B55" w:rsidP="00E30D96">
            <w:r>
              <w:t>0-40%</w:t>
            </w:r>
          </w:p>
        </w:tc>
        <w:tc>
          <w:tcPr>
            <w:tcW w:w="2686" w:type="dxa"/>
          </w:tcPr>
          <w:p w14:paraId="7D7DB393" w14:textId="2FD6A71C" w:rsidR="00BF1B55" w:rsidRDefault="00BF1B55" w:rsidP="00E30D96">
            <w:r>
              <w:t>Conservative</w:t>
            </w:r>
          </w:p>
        </w:tc>
        <w:tc>
          <w:tcPr>
            <w:tcW w:w="2602" w:type="dxa"/>
          </w:tcPr>
          <w:p w14:paraId="5A5F0E61" w14:textId="7686AEB1" w:rsidR="00BF1B55" w:rsidRDefault="00BF1B55" w:rsidP="00E30D96">
            <w:r>
              <w:t>1-4%</w:t>
            </w:r>
          </w:p>
        </w:tc>
      </w:tr>
    </w:tbl>
    <w:p w14:paraId="0A0A176F" w14:textId="2F6D7AB2" w:rsidR="00B3670B" w:rsidRDefault="00BF1B55" w:rsidP="00E30D96">
      <w:pPr>
        <w:pStyle w:val="ListParagraph"/>
        <w:ind w:left="1080"/>
      </w:pPr>
      <w:r>
        <w:t xml:space="preserve">Additional notes: </w:t>
      </w:r>
      <w:r w:rsidR="00B3670B">
        <w:t>There is no one “right allocation.” Understanding your current allocation is the starting place for evaluating your portfolio.</w:t>
      </w:r>
    </w:p>
    <w:p w14:paraId="77973B69" w14:textId="77777777" w:rsidR="00BF1B55" w:rsidRDefault="00BF1B55" w:rsidP="00E30D96">
      <w:pPr>
        <w:pStyle w:val="ListParagraph"/>
        <w:ind w:left="1080"/>
      </w:pPr>
    </w:p>
    <w:p w14:paraId="0FFE1FD8" w14:textId="370C38A0" w:rsidR="00B3670B" w:rsidRDefault="00BF1B55" w:rsidP="00B3670B">
      <w:pPr>
        <w:pStyle w:val="ListParagraph"/>
        <w:numPr>
          <w:ilvl w:val="0"/>
          <w:numId w:val="1"/>
        </w:numPr>
      </w:pPr>
      <w:r w:rsidRPr="00E30D96">
        <w:rPr>
          <w:b/>
          <w:bCs/>
        </w:rPr>
        <w:t>How much are you paying to invest?</w:t>
      </w:r>
      <w:r>
        <w:t xml:space="preserve"> - </w:t>
      </w:r>
      <w:r w:rsidR="00FF6BC6">
        <w:t xml:space="preserve">Investment </w:t>
      </w:r>
      <w:r w:rsidR="00C87251">
        <w:t>cost</w:t>
      </w:r>
      <w:r w:rsidR="00FF6BC6">
        <w:t>s</w:t>
      </w:r>
      <w:r w:rsidR="00C87251">
        <w:t xml:space="preserve"> can</w:t>
      </w:r>
      <w:r>
        <w:t xml:space="preserve"> </w:t>
      </w:r>
      <w:r w:rsidR="00B3670B">
        <w:t xml:space="preserve">significantly </w:t>
      </w:r>
      <w:r w:rsidR="008D545F">
        <w:t>impact</w:t>
      </w:r>
      <w:r w:rsidR="00B3670B">
        <w:t xml:space="preserve"> </w:t>
      </w:r>
      <w:r w:rsidR="008D545F">
        <w:t xml:space="preserve">long-term investment returns, </w:t>
      </w:r>
      <w:r w:rsidR="00CE7440">
        <w:t>so getting a fair and competitive price for investment management is critical.</w:t>
      </w:r>
      <w:r w:rsidR="008278CA">
        <w:t xml:space="preserve"> </w:t>
      </w:r>
      <w:r w:rsidR="00CE7440">
        <w:t>Be aware there are usually multiple layers of expenses when investing</w:t>
      </w:r>
      <w:r w:rsidR="00FF6BC6">
        <w:t>,</w:t>
      </w:r>
      <w:r w:rsidR="00CE7440">
        <w:t xml:space="preserve"> so c</w:t>
      </w:r>
      <w:r w:rsidR="00BF5F41">
        <w:t>onsider the following</w:t>
      </w:r>
      <w:r w:rsidR="00FF6BC6">
        <w:t xml:space="preserve"> areas.</w:t>
      </w:r>
    </w:p>
    <w:p w14:paraId="11FE92FA" w14:textId="2F61BE89" w:rsidR="00BF5F41" w:rsidRDefault="00BF5F41" w:rsidP="00BF5F41">
      <w:pPr>
        <w:pStyle w:val="ListParagraph"/>
        <w:numPr>
          <w:ilvl w:val="1"/>
          <w:numId w:val="1"/>
        </w:numPr>
      </w:pPr>
      <w:r w:rsidRPr="00E30D96">
        <w:rPr>
          <w:b/>
          <w:bCs/>
        </w:rPr>
        <w:t>Commissions</w:t>
      </w:r>
      <w:r w:rsidR="00FF6BC6">
        <w:t xml:space="preserve"> are t</w:t>
      </w:r>
      <w:r>
        <w:t>he price</w:t>
      </w:r>
      <w:r w:rsidR="00FF6BC6">
        <w:t>s</w:t>
      </w:r>
      <w:r>
        <w:t xml:space="preserve"> charged by a brokerage firm to buy</w:t>
      </w:r>
      <w:r w:rsidR="00C87251">
        <w:t xml:space="preserve"> or sell</w:t>
      </w:r>
      <w:r>
        <w:t xml:space="preserve"> a</w:t>
      </w:r>
      <w:r w:rsidR="00C87251">
        <w:t>n investment</w:t>
      </w:r>
      <w:r>
        <w:t xml:space="preserve">.  </w:t>
      </w:r>
      <w:r w:rsidR="00FF6BC6">
        <w:t>They</w:t>
      </w:r>
      <w:r>
        <w:t xml:space="preserve"> may be charged up front or over time through higher expenses on a mutual fund</w:t>
      </w:r>
      <w:r w:rsidR="00C87251">
        <w:t>s</w:t>
      </w:r>
      <w:r>
        <w:t>.</w:t>
      </w:r>
      <w:r w:rsidR="00A00BBE">
        <w:t xml:space="preserve">  </w:t>
      </w:r>
      <w:r w:rsidR="008278CA">
        <w:t>You may also have to look in</w:t>
      </w:r>
      <w:r w:rsidR="00A00BBE">
        <w:t xml:space="preserve"> </w:t>
      </w:r>
      <w:r w:rsidR="008278CA">
        <w:t xml:space="preserve">a </w:t>
      </w:r>
      <w:r w:rsidR="00C87251">
        <w:t>fund’s</w:t>
      </w:r>
      <w:r w:rsidR="008278CA">
        <w:t xml:space="preserve"> </w:t>
      </w:r>
      <w:r w:rsidR="00A00BBE">
        <w:t xml:space="preserve">prospectus to understand what commissions or deferred sales charges apply </w:t>
      </w:r>
      <w:r w:rsidR="008278CA">
        <w:t>as they are not usually shown on a statement</w:t>
      </w:r>
      <w:r w:rsidR="00A00BBE">
        <w:t>.</w:t>
      </w:r>
      <w:r w:rsidR="00C87251">
        <w:t xml:space="preserve"> </w:t>
      </w:r>
    </w:p>
    <w:p w14:paraId="56269199" w14:textId="3C31D19A" w:rsidR="00BF5F41" w:rsidRDefault="00CE7440" w:rsidP="00BF5F41">
      <w:pPr>
        <w:pStyle w:val="ListParagraph"/>
        <w:numPr>
          <w:ilvl w:val="1"/>
          <w:numId w:val="1"/>
        </w:numPr>
      </w:pPr>
      <w:r>
        <w:rPr>
          <w:b/>
          <w:bCs/>
        </w:rPr>
        <w:t xml:space="preserve">Investment Advisory/Management </w:t>
      </w:r>
      <w:r w:rsidR="00BF5F41" w:rsidRPr="00E30D96">
        <w:rPr>
          <w:b/>
          <w:bCs/>
        </w:rPr>
        <w:t>Fees</w:t>
      </w:r>
      <w:r w:rsidR="007C25F5">
        <w:t xml:space="preserve"> are p</w:t>
      </w:r>
      <w:r w:rsidR="00BF5F41">
        <w:t xml:space="preserve">referable to commission-based cost structures in </w:t>
      </w:r>
      <w:r w:rsidR="008278CA">
        <w:t xml:space="preserve">many </w:t>
      </w:r>
      <w:r w:rsidR="00BF5F41">
        <w:t xml:space="preserve">instances due to reduced conflicts of interest. </w:t>
      </w:r>
      <w:r w:rsidR="007C25F5">
        <w:t>They’re o</w:t>
      </w:r>
      <w:r w:rsidR="00BF5F41">
        <w:t xml:space="preserve">ften charged as </w:t>
      </w:r>
      <w:r w:rsidR="007C25F5">
        <w:t xml:space="preserve">flat fees or as </w:t>
      </w:r>
      <w:r w:rsidR="00BF5F41">
        <w:t>a percentage of portfolio value.</w:t>
      </w:r>
      <w:r w:rsidR="00A00BBE">
        <w:t xml:space="preserve"> </w:t>
      </w:r>
      <w:r w:rsidR="004E3E75">
        <w:t>I</w:t>
      </w:r>
      <w:r w:rsidR="00C87251">
        <w:t xml:space="preserve">f </w:t>
      </w:r>
      <w:r w:rsidR="004E3E75">
        <w:t xml:space="preserve">your annual fee </w:t>
      </w:r>
      <w:r w:rsidR="00C87251">
        <w:t xml:space="preserve">is </w:t>
      </w:r>
      <w:r w:rsidR="008278CA">
        <w:t>over 1.5%</w:t>
      </w:r>
      <w:r w:rsidR="004E3E75">
        <w:t>, you may want to re-evaluate</w:t>
      </w:r>
      <w:r w:rsidR="008278CA">
        <w:t xml:space="preserve"> or get a second opinion to ensure you</w:t>
      </w:r>
      <w:r w:rsidR="00BE48AE">
        <w:t>r</w:t>
      </w:r>
      <w:r w:rsidR="008278CA">
        <w:t xml:space="preserve"> fees are reasonable based on the service</w:t>
      </w:r>
      <w:r>
        <w:t>s</w:t>
      </w:r>
      <w:r w:rsidR="008278CA">
        <w:t xml:space="preserve"> performed.</w:t>
      </w:r>
    </w:p>
    <w:p w14:paraId="25EDD846" w14:textId="0E40B6F6" w:rsidR="00BF5F41" w:rsidRDefault="00BF5F41" w:rsidP="00BF5F41">
      <w:pPr>
        <w:pStyle w:val="ListParagraph"/>
        <w:numPr>
          <w:ilvl w:val="1"/>
          <w:numId w:val="1"/>
        </w:numPr>
      </w:pPr>
      <w:r w:rsidRPr="00E30D96">
        <w:rPr>
          <w:b/>
          <w:bCs/>
        </w:rPr>
        <w:t>Transaction Costs</w:t>
      </w:r>
      <w:r w:rsidR="00BE48AE">
        <w:t xml:space="preserve"> are the </w:t>
      </w:r>
      <w:r>
        <w:t xml:space="preserve">costs to buy or sell </w:t>
      </w:r>
      <w:r w:rsidR="008278CA">
        <w:t>investments.</w:t>
      </w:r>
      <w:r>
        <w:t xml:space="preserve"> </w:t>
      </w:r>
      <w:r w:rsidR="00A00BBE">
        <w:t>Review your historical statements to see if you are charged a transaction cost when you buy and sell</w:t>
      </w:r>
      <w:r w:rsidR="00C87251">
        <w:t xml:space="preserve"> </w:t>
      </w:r>
      <w:r w:rsidR="00CE7440">
        <w:t>investments</w:t>
      </w:r>
      <w:r w:rsidR="00A00BBE">
        <w:t>.</w:t>
      </w:r>
      <w:r w:rsidR="008278CA">
        <w:t xml:space="preserve"> If so, you may want to consider another </w:t>
      </w:r>
      <w:r w:rsidR="00C87251">
        <w:t>provider</w:t>
      </w:r>
      <w:r w:rsidR="008278CA">
        <w:t xml:space="preserve"> since many custodians now have no transaction costs.</w:t>
      </w:r>
    </w:p>
    <w:p w14:paraId="3EA462BB" w14:textId="4266FBD2" w:rsidR="00BF5F41" w:rsidRDefault="00BF5F41" w:rsidP="00BF5F41">
      <w:pPr>
        <w:pStyle w:val="ListParagraph"/>
        <w:numPr>
          <w:ilvl w:val="1"/>
          <w:numId w:val="1"/>
        </w:numPr>
      </w:pPr>
      <w:r w:rsidRPr="00E30D96">
        <w:rPr>
          <w:b/>
          <w:bCs/>
        </w:rPr>
        <w:t>Expense Ratios</w:t>
      </w:r>
      <w:r>
        <w:t xml:space="preserve"> </w:t>
      </w:r>
      <w:r w:rsidR="004E3E75">
        <w:t xml:space="preserve">are </w:t>
      </w:r>
      <w:r w:rsidR="00C02DA1">
        <w:t>expenses associated with mutual</w:t>
      </w:r>
      <w:r>
        <w:t xml:space="preserve"> </w:t>
      </w:r>
      <w:r w:rsidR="00C87251">
        <w:t xml:space="preserve">funds </w:t>
      </w:r>
      <w:r>
        <w:t>or exchange-traded funds</w:t>
      </w:r>
      <w:r w:rsidR="00C87251">
        <w:t xml:space="preserve"> (“ETF</w:t>
      </w:r>
      <w:r w:rsidR="00182898">
        <w:t>s</w:t>
      </w:r>
      <w:r w:rsidR="00C87251">
        <w:t>”)</w:t>
      </w:r>
      <w:r w:rsidR="00B11F9A">
        <w:t xml:space="preserve"> and are in </w:t>
      </w:r>
      <w:r w:rsidR="00182898">
        <w:t>addition to</w:t>
      </w:r>
      <w:r w:rsidR="00B11F9A">
        <w:t xml:space="preserve"> investment management fees/commission charged by </w:t>
      </w:r>
      <w:r w:rsidR="00B11F9A">
        <w:lastRenderedPageBreak/>
        <w:t xml:space="preserve">the advisor. </w:t>
      </w:r>
      <w:r w:rsidR="00CE7440">
        <w:t xml:space="preserve">If you are paying </w:t>
      </w:r>
      <w:r w:rsidR="00C02DA1">
        <w:t>investment management</w:t>
      </w:r>
      <w:r w:rsidR="00CE7440">
        <w:t xml:space="preserve"> fees and higher mutual fund expense ratios</w:t>
      </w:r>
      <w:r w:rsidR="00C02DA1">
        <w:t xml:space="preserve"> for standard strategies</w:t>
      </w:r>
      <w:r w:rsidR="00CE7440">
        <w:t>, your total cost could be getting too high.</w:t>
      </w:r>
    </w:p>
    <w:p w14:paraId="21C94942" w14:textId="160BC691" w:rsidR="0007251D" w:rsidRDefault="002B66BC" w:rsidP="0007251D">
      <w:pPr>
        <w:pStyle w:val="ListParagraph"/>
        <w:numPr>
          <w:ilvl w:val="0"/>
          <w:numId w:val="1"/>
        </w:numPr>
      </w:pPr>
      <w:r>
        <w:rPr>
          <w:b/>
          <w:bCs/>
        </w:rPr>
        <w:t>Is your portfolio prepared for retirement?</w:t>
      </w:r>
      <w:r w:rsidR="0007251D">
        <w:t xml:space="preserve"> For investors approaching retirement, consider how many </w:t>
      </w:r>
      <w:r w:rsidR="00D55D08">
        <w:t>years</w:t>
      </w:r>
      <w:r w:rsidR="0007251D">
        <w:t xml:space="preserve"> </w:t>
      </w:r>
      <w:r>
        <w:t xml:space="preserve">of </w:t>
      </w:r>
      <w:r w:rsidR="0007251D">
        <w:t xml:space="preserve">cash flow needs are held in </w:t>
      </w:r>
      <w:r>
        <w:t>nearly risk-free</w:t>
      </w:r>
      <w:r w:rsidR="00CE7440">
        <w:t xml:space="preserve"> investments</w:t>
      </w:r>
      <w:r w:rsidR="0007251D">
        <w:t xml:space="preserve">. </w:t>
      </w:r>
      <w:r>
        <w:t>Holding</w:t>
      </w:r>
      <w:r w:rsidR="0007251D">
        <w:t xml:space="preserve"> three </w:t>
      </w:r>
      <w:r>
        <w:t>years’ worth of these type</w:t>
      </w:r>
      <w:r w:rsidR="00182898">
        <w:t xml:space="preserve"> of</w:t>
      </w:r>
      <w:r>
        <w:t xml:space="preserve"> investments can protect income and help avoid having to sell stocks at a bad time</w:t>
      </w:r>
      <w:r w:rsidR="00182898">
        <w:t>, such as</w:t>
      </w:r>
      <w:r>
        <w:t xml:space="preserve"> during surprise drops in the markets</w:t>
      </w:r>
      <w:r w:rsidR="003F5F01">
        <w:t>.</w:t>
      </w:r>
      <w:r>
        <w:t xml:space="preserve"> Consider using individual bonds instead of mutual funds or exchange</w:t>
      </w:r>
      <w:r w:rsidR="00901DEB">
        <w:t>-</w:t>
      </w:r>
      <w:r>
        <w:t>traded funds for more predictability.</w:t>
      </w:r>
    </w:p>
    <w:p w14:paraId="5292BFBB" w14:textId="5A4B6859" w:rsidR="004123D9" w:rsidRPr="00E30D96" w:rsidRDefault="004123D9">
      <w:pPr>
        <w:pStyle w:val="ListParagraph"/>
        <w:numPr>
          <w:ilvl w:val="0"/>
          <w:numId w:val="1"/>
        </w:numPr>
        <w:rPr>
          <w:b/>
          <w:bCs/>
        </w:rPr>
      </w:pPr>
      <w:r w:rsidRPr="00F27D52">
        <w:rPr>
          <w:b/>
          <w:bCs/>
        </w:rPr>
        <w:t>Do you still have money in a prior employer retirement plan (401</w:t>
      </w:r>
      <w:r w:rsidR="00182898">
        <w:rPr>
          <w:b/>
          <w:bCs/>
        </w:rPr>
        <w:t>(</w:t>
      </w:r>
      <w:r w:rsidRPr="00F27D52">
        <w:rPr>
          <w:b/>
          <w:bCs/>
        </w:rPr>
        <w:t>k</w:t>
      </w:r>
      <w:r w:rsidR="00182898">
        <w:rPr>
          <w:b/>
          <w:bCs/>
        </w:rPr>
        <w:t>)</w:t>
      </w:r>
      <w:r w:rsidRPr="00F27D52">
        <w:rPr>
          <w:b/>
          <w:bCs/>
        </w:rPr>
        <w:t>, 403(b), etc.)?</w:t>
      </w:r>
      <w:r>
        <w:rPr>
          <w:b/>
          <w:bCs/>
        </w:rPr>
        <w:t xml:space="preserve"> </w:t>
      </w:r>
      <w:r>
        <w:t>Given that each plan has unique investments, having multiple plans can create more work to keep everything straight. In addition, there are scenarios where combining account</w:t>
      </w:r>
      <w:r w:rsidR="00901DEB">
        <w:t>s</w:t>
      </w:r>
      <w:r>
        <w:t xml:space="preserve"> together can achieve lower fees due to breakpoints. It’s important to review all your options and understand the costs and benefits associated with each to determine if you should keep </w:t>
      </w:r>
      <w:r w:rsidR="00901DEB">
        <w:t xml:space="preserve">assets in </w:t>
      </w:r>
      <w:r>
        <w:t>the plan or combine it with your new employer</w:t>
      </w:r>
      <w:r w:rsidR="00901DEB">
        <w:t>’s plan</w:t>
      </w:r>
      <w:r>
        <w:t xml:space="preserve"> or your personal IRA.</w:t>
      </w:r>
    </w:p>
    <w:p w14:paraId="74BACCD8" w14:textId="084B8FEC" w:rsidR="007743D0" w:rsidRPr="00E30D96" w:rsidRDefault="002B66BC" w:rsidP="0007251D">
      <w:pPr>
        <w:pStyle w:val="ListParagraph"/>
        <w:numPr>
          <w:ilvl w:val="0"/>
          <w:numId w:val="1"/>
        </w:numPr>
        <w:rPr>
          <w:b/>
          <w:bCs/>
        </w:rPr>
      </w:pPr>
      <w:r>
        <w:rPr>
          <w:b/>
          <w:bCs/>
        </w:rPr>
        <w:t>Are you making any c</w:t>
      </w:r>
      <w:r w:rsidRPr="00E30D96">
        <w:rPr>
          <w:b/>
          <w:bCs/>
        </w:rPr>
        <w:t xml:space="preserve">ommon </w:t>
      </w:r>
      <w:r>
        <w:rPr>
          <w:b/>
          <w:bCs/>
        </w:rPr>
        <w:t>i</w:t>
      </w:r>
      <w:r w:rsidRPr="002B66BC">
        <w:rPr>
          <w:b/>
          <w:bCs/>
        </w:rPr>
        <w:t>nvestment</w:t>
      </w:r>
      <w:r w:rsidRPr="00E30D96">
        <w:rPr>
          <w:b/>
          <w:bCs/>
        </w:rPr>
        <w:t xml:space="preserve"> </w:t>
      </w:r>
      <w:r>
        <w:rPr>
          <w:b/>
          <w:bCs/>
        </w:rPr>
        <w:t>e</w:t>
      </w:r>
      <w:r w:rsidRPr="00E30D96">
        <w:rPr>
          <w:b/>
          <w:bCs/>
        </w:rPr>
        <w:t>rrors</w:t>
      </w:r>
      <w:r>
        <w:rPr>
          <w:b/>
          <w:bCs/>
        </w:rPr>
        <w:t>?</w:t>
      </w:r>
    </w:p>
    <w:p w14:paraId="4A7B9693" w14:textId="14F0B2DE" w:rsidR="00CB47CF" w:rsidRDefault="002B66BC" w:rsidP="007743D0">
      <w:pPr>
        <w:pStyle w:val="ListParagraph"/>
        <w:numPr>
          <w:ilvl w:val="1"/>
          <w:numId w:val="1"/>
        </w:numPr>
      </w:pPr>
      <w:r w:rsidRPr="00E30D96">
        <w:rPr>
          <w:b/>
          <w:bCs/>
        </w:rPr>
        <w:t>Setting and forgetting</w:t>
      </w:r>
      <w:r>
        <w:t xml:space="preserve"> – If you set</w:t>
      </w:r>
      <w:r w:rsidR="00901DEB">
        <w:t xml:space="preserve"> </w:t>
      </w:r>
      <w:r>
        <w:t xml:space="preserve">up your investments long ago and haven’t looked </w:t>
      </w:r>
      <w:r w:rsidR="00901DEB">
        <w:t>since</w:t>
      </w:r>
      <w:r w:rsidR="00CB47CF">
        <w:t xml:space="preserve">, you want to consider how </w:t>
      </w:r>
      <w:r>
        <w:t xml:space="preserve">markets and personal scenarios </w:t>
      </w:r>
      <w:r w:rsidR="00CB47CF">
        <w:t xml:space="preserve">have </w:t>
      </w:r>
      <w:r>
        <w:t>change</w:t>
      </w:r>
      <w:r w:rsidR="00CB47CF">
        <w:t>d</w:t>
      </w:r>
      <w:r>
        <w:t xml:space="preserve"> </w:t>
      </w:r>
      <w:r w:rsidR="00CB47CF">
        <w:t>and determine if adjustments should be mad</w:t>
      </w:r>
      <w:r w:rsidR="00901DEB">
        <w:t>e</w:t>
      </w:r>
      <w:r w:rsidR="00CB47CF">
        <w:t>.</w:t>
      </w:r>
    </w:p>
    <w:p w14:paraId="1BC51E08" w14:textId="2D2A9BDF" w:rsidR="00CB47CF" w:rsidRDefault="00CB47CF" w:rsidP="00E30D96">
      <w:pPr>
        <w:pStyle w:val="ListParagraph"/>
        <w:numPr>
          <w:ilvl w:val="1"/>
          <w:numId w:val="1"/>
        </w:numPr>
      </w:pPr>
      <w:r w:rsidRPr="00E30D96">
        <w:rPr>
          <w:b/>
          <w:bCs/>
        </w:rPr>
        <w:t>Using the Default options</w:t>
      </w:r>
      <w:r>
        <w:t xml:space="preserve"> - </w:t>
      </w:r>
      <w:r w:rsidR="007743D0">
        <w:t>Was your 401(k) or other employer plan invested based on defaults, or did you make an investment election?</w:t>
      </w:r>
      <w:r>
        <w:t xml:space="preserve"> Rarely is the default option the correct choice for </w:t>
      </w:r>
      <w:r w:rsidR="00901DEB">
        <w:t xml:space="preserve">an </w:t>
      </w:r>
      <w:r w:rsidR="00D55D08">
        <w:t>individual’s</w:t>
      </w:r>
      <w:r>
        <w:t xml:space="preserve"> personal situation.</w:t>
      </w:r>
    </w:p>
    <w:p w14:paraId="4463742D" w14:textId="4503805B" w:rsidR="007743D0" w:rsidRDefault="00CB47CF" w:rsidP="00E30D96">
      <w:pPr>
        <w:pStyle w:val="ListParagraph"/>
        <w:numPr>
          <w:ilvl w:val="1"/>
          <w:numId w:val="1"/>
        </w:numPr>
      </w:pPr>
      <w:r w:rsidRPr="00E30D96">
        <w:rPr>
          <w:b/>
          <w:bCs/>
        </w:rPr>
        <w:t>Investing your retirement account</w:t>
      </w:r>
      <w:r w:rsidR="007743D0" w:rsidRPr="00E30D96">
        <w:rPr>
          <w:b/>
          <w:bCs/>
        </w:rPr>
        <w:t xml:space="preserve"> equally to all </w:t>
      </w:r>
      <w:r w:rsidRPr="00E30D96">
        <w:rPr>
          <w:b/>
          <w:bCs/>
        </w:rPr>
        <w:t>available options</w:t>
      </w:r>
      <w:r w:rsidR="007743D0" w:rsidRPr="00E30D96">
        <w:rPr>
          <w:b/>
          <w:bCs/>
        </w:rPr>
        <w:t xml:space="preserve"> in the plan</w:t>
      </w:r>
      <w:r>
        <w:t xml:space="preserve"> - </w:t>
      </w:r>
      <w:r w:rsidR="00901DEB">
        <w:t>This approach has many problems, but t</w:t>
      </w:r>
      <w:r>
        <w:t>here is an optimal way to construct a portfolio</w:t>
      </w:r>
      <w:r w:rsidR="00901DEB">
        <w:t>.</w:t>
      </w:r>
      <w:r>
        <w:t xml:space="preserve"> </w:t>
      </w:r>
    </w:p>
    <w:p w14:paraId="0F3B0278" w14:textId="1DF3E3D2" w:rsidR="00CB47CF" w:rsidRDefault="00CB47CF" w:rsidP="00E30D96">
      <w:pPr>
        <w:pStyle w:val="ListParagraph"/>
        <w:numPr>
          <w:ilvl w:val="1"/>
          <w:numId w:val="1"/>
        </w:numPr>
      </w:pPr>
      <w:r w:rsidRPr="00E30D96">
        <w:rPr>
          <w:b/>
          <w:bCs/>
        </w:rPr>
        <w:t>Investing in</w:t>
      </w:r>
      <w:r w:rsidR="007743D0" w:rsidRPr="00E30D96">
        <w:rPr>
          <w:b/>
          <w:bCs/>
        </w:rPr>
        <w:t xml:space="preserve"> funds with the highest </w:t>
      </w:r>
      <w:r w:rsidRPr="00E30D96">
        <w:rPr>
          <w:b/>
          <w:bCs/>
        </w:rPr>
        <w:t xml:space="preserve">past </w:t>
      </w:r>
      <w:r w:rsidR="007743D0" w:rsidRPr="00E30D96">
        <w:rPr>
          <w:b/>
          <w:bCs/>
        </w:rPr>
        <w:t>performance</w:t>
      </w:r>
      <w:r>
        <w:t xml:space="preserve"> - Numerous studies on this approach suggest it doesn’t work and should be avoided</w:t>
      </w:r>
      <w:r w:rsidR="00901DEB">
        <w:t>.</w:t>
      </w:r>
    </w:p>
    <w:p w14:paraId="2F4DE90C" w14:textId="468086E8" w:rsidR="007743D0" w:rsidRDefault="00CB47CF" w:rsidP="00E30D96">
      <w:pPr>
        <w:pStyle w:val="ListParagraph"/>
        <w:numPr>
          <w:ilvl w:val="1"/>
          <w:numId w:val="1"/>
        </w:numPr>
      </w:pPr>
      <w:r w:rsidRPr="00E30D96">
        <w:rPr>
          <w:b/>
          <w:bCs/>
        </w:rPr>
        <w:t>Avoiding risk</w:t>
      </w:r>
      <w:r>
        <w:t xml:space="preserve"> – Over the long-term, individuals taking investment risk have almost always been rewarded with higher returns. Given the length of time people are retired</w:t>
      </w:r>
      <w:r w:rsidR="00FB78D3">
        <w:t>, avoiding risk is a strategy for most people that will ensure they run out of money.</w:t>
      </w:r>
    </w:p>
    <w:p w14:paraId="77D43585" w14:textId="23161F43" w:rsidR="00DA4C6F" w:rsidRDefault="00DA4C6F"/>
    <w:p w14:paraId="22BA0F34" w14:textId="08E643CC" w:rsidR="00DA4C6F" w:rsidRPr="00CB0FD4" w:rsidRDefault="004D0302">
      <w:pPr>
        <w:rPr>
          <w:b/>
          <w:bCs/>
          <w:u w:val="single"/>
        </w:rPr>
      </w:pPr>
      <w:r>
        <w:rPr>
          <w:b/>
          <w:bCs/>
          <w:u w:val="single"/>
        </w:rPr>
        <w:t>Level 2</w:t>
      </w:r>
    </w:p>
    <w:p w14:paraId="3C19F820" w14:textId="43B271CA" w:rsidR="00DA4C6F" w:rsidRDefault="00D55D08" w:rsidP="0018553C">
      <w:pPr>
        <w:pStyle w:val="ListParagraph"/>
        <w:numPr>
          <w:ilvl w:val="0"/>
          <w:numId w:val="2"/>
        </w:numPr>
      </w:pPr>
      <w:r w:rsidRPr="00E30D96">
        <w:rPr>
          <w:b/>
          <w:bCs/>
        </w:rPr>
        <w:t>Do you or your advisor have a</w:t>
      </w:r>
      <w:r>
        <w:rPr>
          <w:b/>
          <w:bCs/>
        </w:rPr>
        <w:t xml:space="preserve"> defined investment</w:t>
      </w:r>
      <w:r w:rsidRPr="00E30D96">
        <w:rPr>
          <w:b/>
          <w:bCs/>
        </w:rPr>
        <w:t xml:space="preserve"> strategy?</w:t>
      </w:r>
      <w:r>
        <w:t xml:space="preserve"> </w:t>
      </w:r>
      <w:r w:rsidR="0018553C">
        <w:t>Understand</w:t>
      </w:r>
      <w:r w:rsidR="00901DEB">
        <w:t>ing</w:t>
      </w:r>
      <w:r w:rsidR="0018553C">
        <w:t xml:space="preserve"> the strategies </w:t>
      </w:r>
      <w:r>
        <w:t>that are being used for your investments is critical because not all strategies work in every market environment and therefor</w:t>
      </w:r>
      <w:r w:rsidR="00901DEB">
        <w:t>e</w:t>
      </w:r>
      <w:r>
        <w:t xml:space="preserve"> may need to</w:t>
      </w:r>
      <w:r w:rsidR="00450E02">
        <w:t xml:space="preserve"> be</w:t>
      </w:r>
      <w:r>
        <w:t xml:space="preserve"> changed over time</w:t>
      </w:r>
      <w:r w:rsidR="0018553C">
        <w:t xml:space="preserve">. Knowing how the portfolio is constructed and what its intended goal is provides helpful context as you evaluate whether a given fund </w:t>
      </w:r>
      <w:r w:rsidR="00450E02">
        <w:t xml:space="preserve">or strategy </w:t>
      </w:r>
      <w:r w:rsidR="0018553C">
        <w:t>has a role in your portfolio or not.</w:t>
      </w:r>
      <w:r w:rsidR="00FB2D18">
        <w:t xml:space="preserve"> </w:t>
      </w:r>
      <w:r w:rsidR="00450E02">
        <w:t>In general, d</w:t>
      </w:r>
      <w:r w:rsidR="00FB2D18">
        <w:t>on’t buy what you don’t understand.</w:t>
      </w:r>
    </w:p>
    <w:p w14:paraId="51E78C28" w14:textId="05E393CC" w:rsidR="0018553C" w:rsidRDefault="005C2AF1" w:rsidP="0018553C">
      <w:pPr>
        <w:pStyle w:val="ListParagraph"/>
        <w:numPr>
          <w:ilvl w:val="1"/>
          <w:numId w:val="2"/>
        </w:numPr>
      </w:pPr>
      <w:r>
        <w:t>An</w:t>
      </w:r>
      <w:r w:rsidRPr="00E30D96">
        <w:rPr>
          <w:b/>
          <w:bCs/>
        </w:rPr>
        <w:t xml:space="preserve"> </w:t>
      </w:r>
      <w:r w:rsidR="0018553C" w:rsidRPr="00E30D96">
        <w:rPr>
          <w:b/>
          <w:bCs/>
        </w:rPr>
        <w:t>Active</w:t>
      </w:r>
      <w:r w:rsidR="00450E02" w:rsidRPr="00E30D96">
        <w:rPr>
          <w:b/>
          <w:bCs/>
        </w:rPr>
        <w:t xml:space="preserve"> Strategy</w:t>
      </w:r>
      <w:r w:rsidR="0018553C">
        <w:t xml:space="preserve"> </w:t>
      </w:r>
      <w:r>
        <w:t xml:space="preserve">is a </w:t>
      </w:r>
      <w:r w:rsidR="00450E02">
        <w:t xml:space="preserve">strategy or fund </w:t>
      </w:r>
      <w:r w:rsidR="0018553C">
        <w:t xml:space="preserve">seeking to beat a benchmark over time. Be certain to understand how different the fund actually is from its benchmark. Active </w:t>
      </w:r>
      <w:r w:rsidR="00450E02">
        <w:t xml:space="preserve">strategies </w:t>
      </w:r>
      <w:r w:rsidR="0018553C">
        <w:t xml:space="preserve">are often more expensive than passive </w:t>
      </w:r>
      <w:r w:rsidR="00450E02">
        <w:t>ones</w:t>
      </w:r>
      <w:r w:rsidR="0018553C">
        <w:t>, and they should be materially different from the benchmark in order to have an opportunity to outperform, net of fees, over time. Being too similar to the benchmark, while claiming to be an “active” fund</w:t>
      </w:r>
      <w:r>
        <w:t>,</w:t>
      </w:r>
      <w:r w:rsidR="0018553C">
        <w:t xml:space="preserve"> is </w:t>
      </w:r>
      <w:r w:rsidR="00FB2D18">
        <w:t xml:space="preserve">a losing proposition and is referred to as “closet indexing” (charging higher fees </w:t>
      </w:r>
      <w:r w:rsidR="00FB2D18">
        <w:lastRenderedPageBreak/>
        <w:t>for active management while looking pretty much like the benchmark they’re claiming to want to beat).</w:t>
      </w:r>
    </w:p>
    <w:p w14:paraId="0CF8728A" w14:textId="115CE5A1" w:rsidR="00FB2D18" w:rsidRDefault="005C2AF1" w:rsidP="0018553C">
      <w:pPr>
        <w:pStyle w:val="ListParagraph"/>
        <w:numPr>
          <w:ilvl w:val="1"/>
          <w:numId w:val="2"/>
        </w:numPr>
      </w:pPr>
      <w:r>
        <w:t>A</w:t>
      </w:r>
      <w:r w:rsidRPr="00E30D96">
        <w:rPr>
          <w:b/>
          <w:bCs/>
        </w:rPr>
        <w:t xml:space="preserve"> </w:t>
      </w:r>
      <w:r w:rsidR="00450E02" w:rsidRPr="00E30D96">
        <w:rPr>
          <w:b/>
          <w:bCs/>
        </w:rPr>
        <w:t>Passive Strategy</w:t>
      </w:r>
      <w:r w:rsidR="00450E02">
        <w:t xml:space="preserve"> or </w:t>
      </w:r>
      <w:r w:rsidR="00FB2D18">
        <w:t>fund seeks to match the performance of a benchmark as closely as possible</w:t>
      </w:r>
      <w:r>
        <w:t xml:space="preserve"> rather than trying to “beat” a benchmark</w:t>
      </w:r>
      <w:r w:rsidR="00FB2D18">
        <w:t xml:space="preserve">. </w:t>
      </w:r>
      <w:r>
        <w:t>P</w:t>
      </w:r>
      <w:r w:rsidR="00FB2D18">
        <w:t xml:space="preserve">assive funds are </w:t>
      </w:r>
      <w:r>
        <w:t xml:space="preserve">often </w:t>
      </w:r>
      <w:r w:rsidR="00FB2D18">
        <w:t xml:space="preserve">called “index funds” because of this characteristic. Frequently </w:t>
      </w:r>
      <w:r>
        <w:t xml:space="preserve">they are </w:t>
      </w:r>
      <w:r w:rsidR="00FB2D18">
        <w:t xml:space="preserve">lower in cost than active funds. It is critical to understand the characteristics of the index the fund is trying to replicate, and what the method of replication is. Some funds use highly liquid investments in the proportions reflected in the index, </w:t>
      </w:r>
      <w:r w:rsidR="008B3F4F">
        <w:t xml:space="preserve">and </w:t>
      </w:r>
      <w:r w:rsidR="00FB2D18">
        <w:t>other funds use more complex methods of simulating the exposure with differing risk and tax consequences.</w:t>
      </w:r>
    </w:p>
    <w:p w14:paraId="3AAA942B" w14:textId="704632F3" w:rsidR="00FB2D18" w:rsidRDefault="00FB2D18" w:rsidP="0018553C">
      <w:pPr>
        <w:pStyle w:val="ListParagraph"/>
        <w:numPr>
          <w:ilvl w:val="1"/>
          <w:numId w:val="2"/>
        </w:numPr>
      </w:pPr>
      <w:r w:rsidRPr="00E30D96">
        <w:rPr>
          <w:b/>
          <w:bCs/>
        </w:rPr>
        <w:t>Factor-based or “Smart-beta”</w:t>
      </w:r>
      <w:r w:rsidR="00450E02" w:rsidRPr="00E30D96">
        <w:rPr>
          <w:b/>
          <w:bCs/>
        </w:rPr>
        <w:t xml:space="preserve"> Strategies</w:t>
      </w:r>
      <w:r w:rsidR="00B734E5">
        <w:t xml:space="preserve"> </w:t>
      </w:r>
      <w:r>
        <w:t xml:space="preserve">are something of a hybrid between active and passive. They are often based on custom or arcane indices that seek to employ a rules-based approach, similar to passive funds, but the index tracked is often constructed based on fundamental, technical, or quantitative </w:t>
      </w:r>
      <w:r w:rsidR="00450E02">
        <w:t xml:space="preserve">factors </w:t>
      </w:r>
      <w:r>
        <w:t xml:space="preserve">more often used by active managers. Fees vary widely and outcomes are sometimes </w:t>
      </w:r>
      <w:r w:rsidR="00450E02">
        <w:t xml:space="preserve">below average </w:t>
      </w:r>
      <w:r>
        <w:t>as these are often based on historical data</w:t>
      </w:r>
      <w:r w:rsidR="00B734E5">
        <w:t xml:space="preserve"> and</w:t>
      </w:r>
      <w:r>
        <w:t xml:space="preserve"> then implemented somewhat blindly going forward.</w:t>
      </w:r>
    </w:p>
    <w:p w14:paraId="5A3016F2" w14:textId="79D4C176" w:rsidR="001F0C89" w:rsidRDefault="00450E02" w:rsidP="0018553C">
      <w:pPr>
        <w:pStyle w:val="ListParagraph"/>
        <w:numPr>
          <w:ilvl w:val="1"/>
          <w:numId w:val="2"/>
        </w:numPr>
      </w:pPr>
      <w:r w:rsidRPr="00E30D96">
        <w:rPr>
          <w:b/>
          <w:bCs/>
        </w:rPr>
        <w:t>Asset Allocation Strategies</w:t>
      </w:r>
      <w:r w:rsidR="00B734E5">
        <w:t xml:space="preserve"> are i</w:t>
      </w:r>
      <w:r w:rsidR="001F0C89">
        <w:t xml:space="preserve">nvested in a mixture of stocks, bonds, and potentially other securities. When considering allocation </w:t>
      </w:r>
      <w:r>
        <w:t>option</w:t>
      </w:r>
      <w:r w:rsidR="001F0C89">
        <w:t xml:space="preserve">s, both current </w:t>
      </w:r>
      <w:r>
        <w:t>allocation</w:t>
      </w:r>
      <w:r w:rsidR="001F0C89">
        <w:t xml:space="preserve"> as well </w:t>
      </w:r>
      <w:r w:rsidR="00C84FF7">
        <w:t xml:space="preserve">as </w:t>
      </w:r>
      <w:r>
        <w:t>how that allocation can change</w:t>
      </w:r>
      <w:r w:rsidR="001F0C89">
        <w:t xml:space="preserve"> must be considered. Some funds hold a relatively constant </w:t>
      </w:r>
      <w:r>
        <w:t>allocation to</w:t>
      </w:r>
      <w:r w:rsidR="001F0C89">
        <w:t xml:space="preserve"> stocks and bonds while others vary widely over time. One subtype of allocation </w:t>
      </w:r>
      <w:r>
        <w:t xml:space="preserve">strategies </w:t>
      </w:r>
      <w:r w:rsidR="001F0C89">
        <w:t xml:space="preserve">is </w:t>
      </w:r>
      <w:r w:rsidR="00C041CB">
        <w:t xml:space="preserve">a </w:t>
      </w:r>
      <w:r w:rsidR="001F0C89">
        <w:t>“Target Date Fund” (TDF). A TDF investment allocation changes over time based on the proximity to its “target date</w:t>
      </w:r>
      <w:r w:rsidR="0007251D">
        <w:t>,</w:t>
      </w:r>
      <w:r w:rsidR="001F0C89">
        <w:t>” which typically aligns with an investor’s expected retirement date</w:t>
      </w:r>
      <w:r>
        <w:t xml:space="preserve">. </w:t>
      </w:r>
      <w:r w:rsidR="0007251D">
        <w:t xml:space="preserve">Different </w:t>
      </w:r>
      <w:r>
        <w:t xml:space="preserve">companies can have very different </w:t>
      </w:r>
      <w:r w:rsidR="0007251D">
        <w:t xml:space="preserve">risk levels at </w:t>
      </w:r>
      <w:r>
        <w:t>the same age</w:t>
      </w:r>
      <w:r w:rsidR="0007251D">
        <w:t xml:space="preserve">. It is important for investors to </w:t>
      </w:r>
      <w:r w:rsidR="00CA34A6">
        <w:t>understand the allocation and how it changes over time</w:t>
      </w:r>
      <w:r w:rsidR="0007251D">
        <w:t xml:space="preserve"> and consider how well it fits their personal goals and risk tolerance.</w:t>
      </w:r>
      <w:r w:rsidR="00CA34A6">
        <w:t xml:space="preserve"> It’s possible for these portfolios to be very aggressive, even close to retirement, because they assume you will still be investing for 20+ more years.</w:t>
      </w:r>
    </w:p>
    <w:p w14:paraId="271C5E72" w14:textId="0083A618" w:rsidR="00FE50C9" w:rsidRDefault="00A215DC" w:rsidP="00E30D96">
      <w:pPr>
        <w:pStyle w:val="ListParagraph"/>
        <w:numPr>
          <w:ilvl w:val="0"/>
          <w:numId w:val="2"/>
        </w:numPr>
      </w:pPr>
      <w:r w:rsidRPr="00E30D96">
        <w:rPr>
          <w:b/>
          <w:bCs/>
        </w:rPr>
        <w:t xml:space="preserve">Are your </w:t>
      </w:r>
      <w:r>
        <w:rPr>
          <w:b/>
          <w:bCs/>
        </w:rPr>
        <w:t>international</w:t>
      </w:r>
      <w:r w:rsidRPr="00E30D96">
        <w:rPr>
          <w:b/>
          <w:bCs/>
        </w:rPr>
        <w:t xml:space="preserve"> investments subject to exchange rate risk? </w:t>
      </w:r>
      <w:r>
        <w:t xml:space="preserve">It’s important to </w:t>
      </w:r>
      <w:r w:rsidR="002701FC">
        <w:t>understand whether your strategy retains or hedges the foreign currency risk inherent in any investment outside your local currency (US Dollar)</w:t>
      </w:r>
      <w:r>
        <w:t>. It’s possible to have a foreign investment that never goes down but still end</w:t>
      </w:r>
      <w:r w:rsidR="00C041CB">
        <w:t>s</w:t>
      </w:r>
      <w:r>
        <w:t xml:space="preserve"> up losing money once it is converted back into US dollars.</w:t>
      </w:r>
    </w:p>
    <w:p w14:paraId="4475AC1D" w14:textId="6F164331" w:rsidR="00177A45" w:rsidRDefault="004123D9" w:rsidP="00177A45">
      <w:pPr>
        <w:pStyle w:val="ListParagraph"/>
        <w:numPr>
          <w:ilvl w:val="0"/>
          <w:numId w:val="2"/>
        </w:numPr>
      </w:pPr>
      <w:r>
        <w:rPr>
          <w:b/>
          <w:bCs/>
        </w:rPr>
        <w:t>Are you considering your pension plan (i</w:t>
      </w:r>
      <w:r w:rsidR="00C041CB">
        <w:rPr>
          <w:b/>
          <w:bCs/>
        </w:rPr>
        <w:t>.</w:t>
      </w:r>
      <w:r>
        <w:rPr>
          <w:b/>
          <w:bCs/>
        </w:rPr>
        <w:t>e. Cash Balance, Defined Benefit)?</w:t>
      </w:r>
    </w:p>
    <w:p w14:paraId="2FB0EB70" w14:textId="418C232B" w:rsidR="00177A45" w:rsidRDefault="004123D9" w:rsidP="00177A45">
      <w:pPr>
        <w:pStyle w:val="ListParagraph"/>
        <w:numPr>
          <w:ilvl w:val="1"/>
          <w:numId w:val="2"/>
        </w:numPr>
      </w:pPr>
      <w:r w:rsidRPr="00E30D96">
        <w:rPr>
          <w:b/>
          <w:bCs/>
        </w:rPr>
        <w:t>Who bears the risk?</w:t>
      </w:r>
      <w:r>
        <w:t xml:space="preserve"> - </w:t>
      </w:r>
      <w:r w:rsidR="00177A45">
        <w:t xml:space="preserve">Risk in pension plans is borne by the </w:t>
      </w:r>
      <w:r>
        <w:t>employer</w:t>
      </w:r>
      <w:r w:rsidR="002B1E11">
        <w:t>, but</w:t>
      </w:r>
      <w:r>
        <w:t xml:space="preserve"> in a</w:t>
      </w:r>
      <w:r w:rsidR="00177A45" w:rsidRPr="004123D9">
        <w:t xml:space="preserve"> 401(k) or similar plan that is a “defined contribution” </w:t>
      </w:r>
      <w:r>
        <w:t>plan, the</w:t>
      </w:r>
      <w:r w:rsidR="00177A45" w:rsidRPr="004123D9">
        <w:t xml:space="preserve"> worker bears th</w:t>
      </w:r>
      <w:r w:rsidR="00177A45">
        <w:t>e investment risk.</w:t>
      </w:r>
    </w:p>
    <w:p w14:paraId="6C3559B1" w14:textId="63DED77D" w:rsidR="00177A45" w:rsidRDefault="00177A45" w:rsidP="00177A45">
      <w:pPr>
        <w:pStyle w:val="ListParagraph"/>
        <w:numPr>
          <w:ilvl w:val="1"/>
          <w:numId w:val="2"/>
        </w:numPr>
      </w:pPr>
      <w:r w:rsidRPr="00E30D96">
        <w:rPr>
          <w:b/>
          <w:bCs/>
        </w:rPr>
        <w:t>Have you considered this asset as part of your overall portfolio mix?</w:t>
      </w:r>
      <w:r>
        <w:t xml:space="preserve"> </w:t>
      </w:r>
      <w:r w:rsidR="004123D9">
        <w:t>These assets</w:t>
      </w:r>
      <w:r>
        <w:t xml:space="preserve"> play a key role in portfolio design even if you don’t control how the</w:t>
      </w:r>
      <w:r w:rsidR="00121926">
        <w:t>y are</w:t>
      </w:r>
      <w:r>
        <w:t xml:space="preserve"> invested.</w:t>
      </w:r>
    </w:p>
    <w:p w14:paraId="4EC2D7AE" w14:textId="2E0A5D99" w:rsidR="00177A45" w:rsidRDefault="004123D9" w:rsidP="00177A45">
      <w:pPr>
        <w:pStyle w:val="ListParagraph"/>
        <w:numPr>
          <w:ilvl w:val="1"/>
          <w:numId w:val="2"/>
        </w:numPr>
      </w:pPr>
      <w:r w:rsidRPr="00E30D96">
        <w:rPr>
          <w:b/>
          <w:bCs/>
        </w:rPr>
        <w:t xml:space="preserve">Lump </w:t>
      </w:r>
      <w:r w:rsidRPr="004123D9">
        <w:rPr>
          <w:b/>
          <w:bCs/>
        </w:rPr>
        <w:t>sum</w:t>
      </w:r>
      <w:r w:rsidRPr="00E30D96">
        <w:rPr>
          <w:b/>
          <w:bCs/>
        </w:rPr>
        <w:t xml:space="preserve"> or Lifetime income?</w:t>
      </w:r>
      <w:r>
        <w:t xml:space="preserve"> </w:t>
      </w:r>
      <w:r w:rsidR="00177A45">
        <w:t>Maintain awareness of lump sum distribution options, and compare the lump sum versus a stream of future payments to see what the implied rate of return underlying the payment stream is</w:t>
      </w:r>
      <w:r w:rsidR="006200FB">
        <w:t>.</w:t>
      </w:r>
      <w:r w:rsidR="00177A45">
        <w:t xml:space="preserve"> </w:t>
      </w:r>
      <w:r w:rsidR="006200FB">
        <w:t>Also c</w:t>
      </w:r>
      <w:r w:rsidR="00177A45">
        <w:t xml:space="preserve">ompare </w:t>
      </w:r>
      <w:r w:rsidR="006200FB">
        <w:t xml:space="preserve">these options </w:t>
      </w:r>
      <w:r w:rsidR="00177A45">
        <w:t>to available alternatives on the private market</w:t>
      </w:r>
      <w:r>
        <w:t xml:space="preserve"> before making any decisions.</w:t>
      </w:r>
    </w:p>
    <w:p w14:paraId="78433749" w14:textId="6F435C67" w:rsidR="00177A45" w:rsidRDefault="004123D9" w:rsidP="00177A45">
      <w:pPr>
        <w:pStyle w:val="ListParagraph"/>
        <w:numPr>
          <w:ilvl w:val="1"/>
          <w:numId w:val="2"/>
        </w:numPr>
      </w:pPr>
      <w:r w:rsidRPr="00E30D96">
        <w:rPr>
          <w:b/>
          <w:bCs/>
        </w:rPr>
        <w:t xml:space="preserve">Will </w:t>
      </w:r>
      <w:r w:rsidR="003E12E3">
        <w:rPr>
          <w:b/>
          <w:bCs/>
        </w:rPr>
        <w:t>your pension payments last</w:t>
      </w:r>
      <w:r w:rsidRPr="00E30D96">
        <w:rPr>
          <w:b/>
          <w:bCs/>
        </w:rPr>
        <w:t>?</w:t>
      </w:r>
      <w:r>
        <w:t xml:space="preserve"> </w:t>
      </w:r>
      <w:r w:rsidR="00177A45">
        <w:t xml:space="preserve">Monitor </w:t>
      </w:r>
      <w:r w:rsidR="006200FB">
        <w:t xml:space="preserve">the </w:t>
      </w:r>
      <w:r w:rsidR="00177A45">
        <w:t>health and funding status of all pension plans over time to track the fund’s ability to pay future benefits.</w:t>
      </w:r>
      <w:r w:rsidR="003E12E3">
        <w:t xml:space="preserve"> </w:t>
      </w:r>
      <w:r w:rsidR="00D853FD">
        <w:t>This could impact your decision to take a lump sum or lifetime income.</w:t>
      </w:r>
      <w:r w:rsidR="003E12E3">
        <w:t xml:space="preserve"> Additional </w:t>
      </w:r>
      <w:r w:rsidR="006200FB">
        <w:t>scrutiny</w:t>
      </w:r>
      <w:r w:rsidR="003E12E3">
        <w:t xml:space="preserve"> may be necessary if funding status is less </w:t>
      </w:r>
      <w:r w:rsidR="003E12E3" w:rsidRPr="00C91063">
        <w:t xml:space="preserve">than </w:t>
      </w:r>
      <w:r w:rsidR="003E12E3" w:rsidRPr="00D24BE0">
        <w:t>80%.</w:t>
      </w:r>
    </w:p>
    <w:p w14:paraId="4F56FC75" w14:textId="3D26E062" w:rsidR="00177A45" w:rsidRDefault="003E12E3" w:rsidP="00177A45">
      <w:pPr>
        <w:pStyle w:val="ListParagraph"/>
        <w:numPr>
          <w:ilvl w:val="1"/>
          <w:numId w:val="2"/>
        </w:numPr>
      </w:pPr>
      <w:r w:rsidRPr="00E30D96">
        <w:rPr>
          <w:b/>
          <w:bCs/>
        </w:rPr>
        <w:lastRenderedPageBreak/>
        <w:t xml:space="preserve">Are they </w:t>
      </w:r>
      <w:r w:rsidR="00EA739A" w:rsidRPr="003E12E3">
        <w:rPr>
          <w:b/>
          <w:bCs/>
        </w:rPr>
        <w:t>making changes</w:t>
      </w:r>
      <w:r w:rsidRPr="00E30D96">
        <w:rPr>
          <w:b/>
          <w:bCs/>
        </w:rPr>
        <w:t xml:space="preserve"> </w:t>
      </w:r>
      <w:r w:rsidR="00177A45" w:rsidRPr="00E30D96">
        <w:rPr>
          <w:b/>
          <w:bCs/>
        </w:rPr>
        <w:t>to the actuarial assumptions</w:t>
      </w:r>
      <w:r w:rsidRPr="00E30D96">
        <w:rPr>
          <w:b/>
          <w:bCs/>
        </w:rPr>
        <w:t>?</w:t>
      </w:r>
      <w:r w:rsidR="00177A45">
        <w:t xml:space="preserve"> </w:t>
      </w:r>
      <w:r>
        <w:t>Be aware of changes</w:t>
      </w:r>
      <w:r w:rsidR="006200FB">
        <w:t>,</w:t>
      </w:r>
      <w:r>
        <w:t xml:space="preserve"> especially as they relate</w:t>
      </w:r>
      <w:r w:rsidR="00177A45">
        <w:t xml:space="preserve"> to the return assumptions used in the calculation. Higher </w:t>
      </w:r>
      <w:r>
        <w:t>r</w:t>
      </w:r>
      <w:r w:rsidR="00177A45">
        <w:t>ates of return increase</w:t>
      </w:r>
      <w:r>
        <w:t xml:space="preserve"> the potential growth but also increase</w:t>
      </w:r>
      <w:r w:rsidR="00177A45">
        <w:t xml:space="preserve"> the risk of </w:t>
      </w:r>
      <w:r w:rsidR="006005EE">
        <w:t>future funding challenges.</w:t>
      </w:r>
    </w:p>
    <w:p w14:paraId="42900440" w14:textId="77777777" w:rsidR="00C84FF7" w:rsidRDefault="00C84FF7" w:rsidP="00C91063">
      <w:pPr>
        <w:pStyle w:val="ListParagraph"/>
        <w:ind w:left="1440"/>
      </w:pPr>
    </w:p>
    <w:p w14:paraId="58F615AC" w14:textId="77777777" w:rsidR="00C84FF7" w:rsidRDefault="00C84FF7">
      <w:pPr>
        <w:rPr>
          <w:b/>
          <w:bCs/>
          <w:u w:val="single"/>
        </w:rPr>
      </w:pPr>
    </w:p>
    <w:p w14:paraId="7322742B" w14:textId="1D896453" w:rsidR="00DA4C6F" w:rsidRPr="00CB0FD4" w:rsidRDefault="004D0302">
      <w:pPr>
        <w:rPr>
          <w:b/>
          <w:bCs/>
          <w:u w:val="single"/>
        </w:rPr>
      </w:pPr>
      <w:r>
        <w:rPr>
          <w:b/>
          <w:bCs/>
          <w:u w:val="single"/>
        </w:rPr>
        <w:t>Level 3</w:t>
      </w:r>
    </w:p>
    <w:p w14:paraId="1FB32A08" w14:textId="68C241BC" w:rsidR="00547269" w:rsidRDefault="00BB5376" w:rsidP="00A76130">
      <w:pPr>
        <w:pStyle w:val="ListParagraph"/>
        <w:numPr>
          <w:ilvl w:val="0"/>
          <w:numId w:val="3"/>
        </w:numPr>
        <w:rPr>
          <w:b/>
          <w:bCs/>
        </w:rPr>
      </w:pPr>
      <w:r w:rsidRPr="00E30D96">
        <w:rPr>
          <w:b/>
          <w:bCs/>
        </w:rPr>
        <w:t>Are your stock strategies fully diversified?</w:t>
      </w:r>
    </w:p>
    <w:p w14:paraId="12A78430" w14:textId="47C1EF0A" w:rsidR="00A76130" w:rsidRDefault="00A76130" w:rsidP="00E30D96">
      <w:pPr>
        <w:pStyle w:val="ListParagraph"/>
        <w:numPr>
          <w:ilvl w:val="1"/>
          <w:numId w:val="3"/>
        </w:numPr>
      </w:pPr>
      <w:r w:rsidRPr="00E30D96">
        <w:rPr>
          <w:b/>
          <w:bCs/>
        </w:rPr>
        <w:t>Non-Systematic Risk</w:t>
      </w:r>
      <w:r w:rsidR="00BB5376" w:rsidRPr="00BB5376">
        <w:rPr>
          <w:b/>
          <w:bCs/>
        </w:rPr>
        <w:t xml:space="preserve"> - </w:t>
      </w:r>
      <w:r>
        <w:t xml:space="preserve">Within a </w:t>
      </w:r>
      <w:r w:rsidR="00BB5376">
        <w:t>stock</w:t>
      </w:r>
      <w:r>
        <w:t xml:space="preserve"> investment strategy, the primary sources of risk are systematic (general market risk) and non-systematic (company-specific risk).  Systematic risk cannot be diversified away, but non-systematic risk can be reduced through increasing the number of individual equity positions within a strategy.  </w:t>
      </w:r>
      <w:r w:rsidR="00547269">
        <w:t>Statistically, at least thirty individual positions</w:t>
      </w:r>
      <w:r w:rsidR="00BB5376">
        <w:t xml:space="preserve"> are needed</w:t>
      </w:r>
      <w:r w:rsidR="00547269">
        <w:t xml:space="preserve"> to </w:t>
      </w:r>
      <w:r w:rsidR="00BB5376">
        <w:t>adequately reduce</w:t>
      </w:r>
      <w:r w:rsidR="00547269">
        <w:t xml:space="preserve"> non-systematic risk.</w:t>
      </w:r>
      <w:r w:rsidR="00BB5376">
        <w:t xml:space="preserve"> </w:t>
      </w:r>
    </w:p>
    <w:p w14:paraId="7807ABE5" w14:textId="67717E32" w:rsidR="00547269" w:rsidRDefault="00547269" w:rsidP="00E30D96">
      <w:pPr>
        <w:pStyle w:val="ListParagraph"/>
        <w:numPr>
          <w:ilvl w:val="1"/>
          <w:numId w:val="3"/>
        </w:numPr>
      </w:pPr>
      <w:r w:rsidRPr="00E30D96">
        <w:rPr>
          <w:b/>
          <w:bCs/>
        </w:rPr>
        <w:t>Sector Exposure</w:t>
      </w:r>
      <w:r w:rsidR="00BB5376" w:rsidRPr="00BB5376">
        <w:rPr>
          <w:b/>
          <w:bCs/>
        </w:rPr>
        <w:t xml:space="preserve"> - </w:t>
      </w:r>
      <w:r>
        <w:t xml:space="preserve">Classify your individual </w:t>
      </w:r>
      <w:r w:rsidR="00BB5376">
        <w:t xml:space="preserve">stock </w:t>
      </w:r>
      <w:r>
        <w:t>positions into their respective economic sectors and industries. Compare your sector and industry allocations to the relevant benchmark. Depending on your strategy, deviations may be acceptable, as long as they are understood and held with intent. Sector</w:t>
      </w:r>
      <w:r w:rsidR="0069503A">
        <w:t>-</w:t>
      </w:r>
      <w:r>
        <w:t xml:space="preserve"> and industry</w:t>
      </w:r>
      <w:r w:rsidR="0069503A">
        <w:t>-</w:t>
      </w:r>
      <w:r>
        <w:t xml:space="preserve">level deviations from </w:t>
      </w:r>
      <w:r w:rsidR="0069503A">
        <w:t xml:space="preserve">their </w:t>
      </w:r>
      <w:r>
        <w:t xml:space="preserve">benchmark will impact relative performance since </w:t>
      </w:r>
      <w:r w:rsidR="007743D0">
        <w:t>economic</w:t>
      </w:r>
      <w:r>
        <w:t xml:space="preserve"> factors impact sectors differently. </w:t>
      </w:r>
      <w:r w:rsidR="0069503A">
        <w:t>For example,</w:t>
      </w:r>
      <w:r>
        <w:t xml:space="preserve"> low oil prices will impact energy (lower revenue) and transportation (lower cost) companies differently.</w:t>
      </w:r>
    </w:p>
    <w:p w14:paraId="5FC90443" w14:textId="2DB19368" w:rsidR="00FE50C9" w:rsidRDefault="005D300C" w:rsidP="00E30D96">
      <w:pPr>
        <w:pStyle w:val="ListParagraph"/>
        <w:numPr>
          <w:ilvl w:val="0"/>
          <w:numId w:val="3"/>
        </w:numPr>
      </w:pPr>
      <w:r w:rsidRPr="00E30D96">
        <w:rPr>
          <w:b/>
          <w:bCs/>
        </w:rPr>
        <w:t>Are your fixed-income investments efficient for the current economic environment?</w:t>
      </w:r>
      <w:r w:rsidR="00D14542">
        <w:rPr>
          <w:b/>
          <w:bCs/>
        </w:rPr>
        <w:t xml:space="preserve"> </w:t>
      </w:r>
      <w:r w:rsidR="00D14542">
        <w:t>Look</w:t>
      </w:r>
      <w:r w:rsidR="0069503A">
        <w:t xml:space="preserve"> </w:t>
      </w:r>
      <w:r w:rsidR="00D14542">
        <w:t>up or c</w:t>
      </w:r>
      <w:r w:rsidR="00FE50C9">
        <w:t xml:space="preserve">alculate the duration </w:t>
      </w:r>
      <w:r w:rsidR="006005EE">
        <w:t>or interest</w:t>
      </w:r>
      <w:r w:rsidR="0069503A">
        <w:t>-</w:t>
      </w:r>
      <w:r w:rsidR="00FE50C9">
        <w:t xml:space="preserve">rate sensitivity of </w:t>
      </w:r>
      <w:r w:rsidR="00D14542">
        <w:t xml:space="preserve">your </w:t>
      </w:r>
      <w:r w:rsidR="00FE50C9">
        <w:t>fixed</w:t>
      </w:r>
      <w:r w:rsidR="0069503A">
        <w:t>-</w:t>
      </w:r>
      <w:r w:rsidR="00FE50C9">
        <w:t>income exposure.</w:t>
      </w:r>
      <w:r w:rsidR="00177A45">
        <w:t xml:space="preserve"> The higher the number, the more </w:t>
      </w:r>
      <w:r w:rsidR="00D14542">
        <w:t>the</w:t>
      </w:r>
      <w:r w:rsidR="0069503A">
        <w:t xml:space="preserve"> fixed-income investments</w:t>
      </w:r>
      <w:r w:rsidR="00D14542">
        <w:t xml:space="preserve"> would lose value if interest rates go up.  With rates as low as they are, there is risk that future increases could cause longer duration bonds to face significant downside pressure.</w:t>
      </w:r>
    </w:p>
    <w:p w14:paraId="7B301D44" w14:textId="287C0A84" w:rsidR="007743D0" w:rsidRPr="00E30D96" w:rsidRDefault="00D14542" w:rsidP="007743D0">
      <w:pPr>
        <w:pStyle w:val="ListParagraph"/>
        <w:numPr>
          <w:ilvl w:val="0"/>
          <w:numId w:val="3"/>
        </w:numPr>
        <w:rPr>
          <w:b/>
          <w:bCs/>
        </w:rPr>
      </w:pPr>
      <w:r w:rsidRPr="00E30D96">
        <w:rPr>
          <w:b/>
          <w:bCs/>
        </w:rPr>
        <w:t>Are you at risk of losing your</w:t>
      </w:r>
      <w:r>
        <w:rPr>
          <w:b/>
          <w:bCs/>
        </w:rPr>
        <w:t xml:space="preserve"> investment in your employer</w:t>
      </w:r>
      <w:r w:rsidR="009842CA">
        <w:rPr>
          <w:b/>
          <w:bCs/>
        </w:rPr>
        <w:t>’</w:t>
      </w:r>
      <w:r>
        <w:rPr>
          <w:b/>
          <w:bCs/>
        </w:rPr>
        <w:t>s</w:t>
      </w:r>
      <w:r w:rsidRPr="00E30D96">
        <w:rPr>
          <w:b/>
          <w:bCs/>
        </w:rPr>
        <w:t xml:space="preserve"> Deferred Compensation plan?</w:t>
      </w:r>
    </w:p>
    <w:p w14:paraId="531AC698" w14:textId="0E247EC9" w:rsidR="007743D0" w:rsidRDefault="00D14542">
      <w:pPr>
        <w:pStyle w:val="ListParagraph"/>
        <w:numPr>
          <w:ilvl w:val="1"/>
          <w:numId w:val="3"/>
        </w:numPr>
      </w:pPr>
      <w:r>
        <w:t>Money invested in a</w:t>
      </w:r>
      <w:r w:rsidR="009842CA">
        <w:t>n</w:t>
      </w:r>
      <w:r>
        <w:t xml:space="preserve"> employer n</w:t>
      </w:r>
      <w:r w:rsidR="007743D0">
        <w:t xml:space="preserve">on-qualified </w:t>
      </w:r>
      <w:r>
        <w:t>d</w:t>
      </w:r>
      <w:r w:rsidR="007743D0">
        <w:t xml:space="preserve">eferred </w:t>
      </w:r>
      <w:r>
        <w:t>c</w:t>
      </w:r>
      <w:r w:rsidR="007743D0">
        <w:t xml:space="preserve">ompensation plan </w:t>
      </w:r>
      <w:r w:rsidR="009842CA">
        <w:t xml:space="preserve">is </w:t>
      </w:r>
      <w:r w:rsidR="007743D0">
        <w:t xml:space="preserve">subject to claim, under certain circumstances, by the creditors </w:t>
      </w:r>
      <w:r>
        <w:t>of the</w:t>
      </w:r>
      <w:r w:rsidR="007743D0">
        <w:t xml:space="preserve"> organization</w:t>
      </w:r>
      <w:r>
        <w:t xml:space="preserve"> and could be at risk especially during tough economic times.</w:t>
      </w:r>
      <w:r w:rsidR="00FE50C9">
        <w:t xml:space="preserve">  </w:t>
      </w:r>
    </w:p>
    <w:p w14:paraId="7579445B" w14:textId="5BE65116" w:rsidR="00FE50C9" w:rsidRDefault="00FE50C9" w:rsidP="007743D0">
      <w:pPr>
        <w:pStyle w:val="ListParagraph"/>
        <w:numPr>
          <w:ilvl w:val="1"/>
          <w:numId w:val="3"/>
        </w:numPr>
      </w:pPr>
      <w:r>
        <w:t>Have you accounted for this forfeiture risk in how you have allocated your assets across different account and tax types?</w:t>
      </w:r>
    </w:p>
    <w:p w14:paraId="2DC19B13" w14:textId="73AA557A" w:rsidR="00FE50C9" w:rsidRDefault="00FE50C9" w:rsidP="007743D0">
      <w:pPr>
        <w:pStyle w:val="ListParagraph"/>
        <w:numPr>
          <w:ilvl w:val="1"/>
          <w:numId w:val="3"/>
        </w:numPr>
      </w:pPr>
      <w:r>
        <w:t xml:space="preserve">Are you monitoring the financial health of the </w:t>
      </w:r>
      <w:r w:rsidR="00D14542">
        <w:t>employer</w:t>
      </w:r>
      <w:r>
        <w:t xml:space="preserve"> over time to maintain a near real-time grasp</w:t>
      </w:r>
      <w:r w:rsidR="009842CA">
        <w:t xml:space="preserve"> of</w:t>
      </w:r>
      <w:r>
        <w:t xml:space="preserve"> how this risk factor is changing?</w:t>
      </w:r>
    </w:p>
    <w:p w14:paraId="7FE00B15" w14:textId="0E6FFAE9" w:rsidR="00C84FF7" w:rsidRPr="000B6293" w:rsidRDefault="00390050" w:rsidP="00C91063">
      <w:pPr>
        <w:rPr>
          <w:b/>
          <w:bCs/>
          <w:sz w:val="24"/>
          <w:szCs w:val="24"/>
        </w:rPr>
      </w:pPr>
      <w:r w:rsidRPr="000B6293">
        <w:rPr>
          <w:b/>
          <w:bCs/>
        </w:rPr>
        <w:t>There certainly is a lot to consider, isn’t there? If you’d like, the professionals at MPPL Financial are happy to help</w:t>
      </w:r>
      <w:r w:rsidR="00C91063" w:rsidRPr="000B6293">
        <w:rPr>
          <w:b/>
          <w:bCs/>
        </w:rPr>
        <w:t xml:space="preserve"> with a second opinion</w:t>
      </w:r>
      <w:r w:rsidRPr="000B6293">
        <w:rPr>
          <w:b/>
          <w:bCs/>
        </w:rPr>
        <w:t xml:space="preserve">, </w:t>
      </w:r>
      <w:r w:rsidR="00093AD1" w:rsidRPr="000B6293">
        <w:rPr>
          <w:b/>
          <w:bCs/>
          <w:sz w:val="24"/>
          <w:szCs w:val="24"/>
        </w:rPr>
        <w:t>1-800-236-6775.</w:t>
      </w:r>
    </w:p>
    <w:p w14:paraId="5C51194A" w14:textId="01EA23E7" w:rsidR="000B6293" w:rsidRDefault="000B6293" w:rsidP="000B6293">
      <w:pPr>
        <w:pStyle w:val="Footer"/>
      </w:pPr>
      <w:r w:rsidRPr="000B6293">
        <w:rPr>
          <w:sz w:val="20"/>
          <w:szCs w:val="20"/>
        </w:rPr>
        <w:t>Investment Advisory Services offered through Midwest Professional Planners, Ltd. (“MPPL”), 2610 Stewart Ave., Ste. 100, Wausau, WI 54401, 1-800-236-6775, an SEC-registered investment advisor. Certain representatives of MPPL are also Registered Representatives offering Securities products involving commission or transaction-based fees through APW Capital, Inc., 100 Enterprise Drive, Suite 504, Rockaway, NJ 07866, 1-800-637-3211. Member </w:t>
      </w:r>
      <w:hyperlink r:id="rId8" w:history="1">
        <w:r w:rsidRPr="000B6293">
          <w:rPr>
            <w:rStyle w:val="Hyperlink"/>
            <w:sz w:val="20"/>
            <w:szCs w:val="20"/>
          </w:rPr>
          <w:t>FINRA</w:t>
        </w:r>
      </w:hyperlink>
      <w:r w:rsidRPr="000B6293">
        <w:rPr>
          <w:sz w:val="20"/>
          <w:szCs w:val="20"/>
        </w:rPr>
        <w:t>/</w:t>
      </w:r>
      <w:hyperlink r:id="rId9" w:history="1">
        <w:r w:rsidRPr="000B6293">
          <w:rPr>
            <w:rStyle w:val="Hyperlink"/>
            <w:sz w:val="20"/>
            <w:szCs w:val="20"/>
          </w:rPr>
          <w:t>SIPC</w:t>
        </w:r>
      </w:hyperlink>
      <w:r w:rsidRPr="000B6293">
        <w:rPr>
          <w:sz w:val="20"/>
          <w:szCs w:val="20"/>
        </w:rPr>
        <w:t>/MSRB. MPPL is independent of APW Capital, Inc. </w:t>
      </w:r>
    </w:p>
    <w:sectPr w:rsidR="000B629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7B76" w14:textId="77777777" w:rsidR="00B52795" w:rsidRDefault="00B52795" w:rsidP="006B2FD9">
      <w:pPr>
        <w:spacing w:after="0" w:line="240" w:lineRule="auto"/>
      </w:pPr>
      <w:r>
        <w:separator/>
      </w:r>
    </w:p>
  </w:endnote>
  <w:endnote w:type="continuationSeparator" w:id="0">
    <w:p w14:paraId="3FF59FB2" w14:textId="77777777" w:rsidR="00B52795" w:rsidRDefault="00B52795" w:rsidP="006B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8008" w14:textId="77777777" w:rsidR="00B52795" w:rsidRDefault="00B52795" w:rsidP="006B2FD9">
      <w:pPr>
        <w:spacing w:after="0" w:line="240" w:lineRule="auto"/>
      </w:pPr>
      <w:r>
        <w:separator/>
      </w:r>
    </w:p>
  </w:footnote>
  <w:footnote w:type="continuationSeparator" w:id="0">
    <w:p w14:paraId="2DDA5DAC" w14:textId="77777777" w:rsidR="00B52795" w:rsidRDefault="00B52795" w:rsidP="006B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8761" w14:textId="3C0C9B06" w:rsidR="00C02DA1" w:rsidRDefault="00C02DA1" w:rsidP="00C91063">
    <w:pPr>
      <w:pStyle w:val="Header"/>
      <w:jc w:val="right"/>
    </w:pPr>
    <w:r>
      <w:rPr>
        <w:noProof/>
      </w:rPr>
      <w:drawing>
        <wp:inline distT="0" distB="0" distL="0" distR="0" wp14:anchorId="4FF07979" wp14:editId="1F6D3811">
          <wp:extent cx="15240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02B3"/>
    <w:multiLevelType w:val="hybridMultilevel"/>
    <w:tmpl w:val="7F766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17F01"/>
    <w:multiLevelType w:val="hybridMultilevel"/>
    <w:tmpl w:val="2984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74FA3"/>
    <w:multiLevelType w:val="hybridMultilevel"/>
    <w:tmpl w:val="EA06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A0529"/>
    <w:multiLevelType w:val="hybridMultilevel"/>
    <w:tmpl w:val="283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84901"/>
    <w:multiLevelType w:val="hybridMultilevel"/>
    <w:tmpl w:val="00504E30"/>
    <w:lvl w:ilvl="0" w:tplc="413C148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1C19BB"/>
    <w:multiLevelType w:val="hybridMultilevel"/>
    <w:tmpl w:val="BBECF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B6EDD"/>
    <w:multiLevelType w:val="hybridMultilevel"/>
    <w:tmpl w:val="C0088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83"/>
    <w:rsid w:val="0007251D"/>
    <w:rsid w:val="00093AD1"/>
    <w:rsid w:val="000B6293"/>
    <w:rsid w:val="00121926"/>
    <w:rsid w:val="00177A45"/>
    <w:rsid w:val="00182898"/>
    <w:rsid w:val="0018553C"/>
    <w:rsid w:val="001A5560"/>
    <w:rsid w:val="001F0C89"/>
    <w:rsid w:val="002403FC"/>
    <w:rsid w:val="002701FC"/>
    <w:rsid w:val="00280A3D"/>
    <w:rsid w:val="002B1E11"/>
    <w:rsid w:val="002B66BC"/>
    <w:rsid w:val="00330983"/>
    <w:rsid w:val="00390050"/>
    <w:rsid w:val="003E12E3"/>
    <w:rsid w:val="003F5F01"/>
    <w:rsid w:val="004123D9"/>
    <w:rsid w:val="00450E02"/>
    <w:rsid w:val="00461A76"/>
    <w:rsid w:val="0047559B"/>
    <w:rsid w:val="004B71CE"/>
    <w:rsid w:val="004D0302"/>
    <w:rsid w:val="004E3E75"/>
    <w:rsid w:val="00547269"/>
    <w:rsid w:val="00573A76"/>
    <w:rsid w:val="005C2AF1"/>
    <w:rsid w:val="005D300C"/>
    <w:rsid w:val="006005EE"/>
    <w:rsid w:val="006200FB"/>
    <w:rsid w:val="0069503A"/>
    <w:rsid w:val="006B2FD9"/>
    <w:rsid w:val="006E3F46"/>
    <w:rsid w:val="00704E04"/>
    <w:rsid w:val="007743D0"/>
    <w:rsid w:val="007C25F5"/>
    <w:rsid w:val="007E0AD1"/>
    <w:rsid w:val="008278CA"/>
    <w:rsid w:val="008B02EA"/>
    <w:rsid w:val="008B3F4F"/>
    <w:rsid w:val="008D545F"/>
    <w:rsid w:val="008E505A"/>
    <w:rsid w:val="00901DEB"/>
    <w:rsid w:val="00931C3C"/>
    <w:rsid w:val="00943272"/>
    <w:rsid w:val="009842CA"/>
    <w:rsid w:val="00A00BBE"/>
    <w:rsid w:val="00A215DC"/>
    <w:rsid w:val="00A76130"/>
    <w:rsid w:val="00AE6EC0"/>
    <w:rsid w:val="00B106E2"/>
    <w:rsid w:val="00B11F9A"/>
    <w:rsid w:val="00B3670B"/>
    <w:rsid w:val="00B52795"/>
    <w:rsid w:val="00B734E5"/>
    <w:rsid w:val="00BB5376"/>
    <w:rsid w:val="00BC46C6"/>
    <w:rsid w:val="00BE48AE"/>
    <w:rsid w:val="00BF1B55"/>
    <w:rsid w:val="00BF5F41"/>
    <w:rsid w:val="00C02690"/>
    <w:rsid w:val="00C02DA1"/>
    <w:rsid w:val="00C041CB"/>
    <w:rsid w:val="00C84FF7"/>
    <w:rsid w:val="00C87251"/>
    <w:rsid w:val="00C91063"/>
    <w:rsid w:val="00CA34A6"/>
    <w:rsid w:val="00CB0FD4"/>
    <w:rsid w:val="00CB47CF"/>
    <w:rsid w:val="00CE7440"/>
    <w:rsid w:val="00D14542"/>
    <w:rsid w:val="00D24BE0"/>
    <w:rsid w:val="00D55D08"/>
    <w:rsid w:val="00D853FD"/>
    <w:rsid w:val="00D92E5B"/>
    <w:rsid w:val="00DA4C6F"/>
    <w:rsid w:val="00E30D96"/>
    <w:rsid w:val="00EA739A"/>
    <w:rsid w:val="00FB2D18"/>
    <w:rsid w:val="00FB78D3"/>
    <w:rsid w:val="00FE50C9"/>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DBED"/>
  <w15:chartTrackingRefBased/>
  <w15:docId w15:val="{BBFE9C6B-EA58-4468-82BA-A786FAC0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D9"/>
    <w:pPr>
      <w:ind w:left="720"/>
      <w:contextualSpacing/>
    </w:pPr>
  </w:style>
  <w:style w:type="paragraph" w:styleId="FootnoteText">
    <w:name w:val="footnote text"/>
    <w:basedOn w:val="Normal"/>
    <w:link w:val="FootnoteTextChar"/>
    <w:uiPriority w:val="99"/>
    <w:semiHidden/>
    <w:unhideWhenUsed/>
    <w:rsid w:val="006B2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FD9"/>
    <w:rPr>
      <w:sz w:val="20"/>
      <w:szCs w:val="20"/>
    </w:rPr>
  </w:style>
  <w:style w:type="character" w:styleId="FootnoteReference">
    <w:name w:val="footnote reference"/>
    <w:basedOn w:val="DefaultParagraphFont"/>
    <w:uiPriority w:val="99"/>
    <w:semiHidden/>
    <w:unhideWhenUsed/>
    <w:rsid w:val="006B2FD9"/>
    <w:rPr>
      <w:vertAlign w:val="superscript"/>
    </w:rPr>
  </w:style>
  <w:style w:type="table" w:styleId="TableGrid">
    <w:name w:val="Table Grid"/>
    <w:basedOn w:val="TableNormal"/>
    <w:uiPriority w:val="39"/>
    <w:rsid w:val="00BF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D08"/>
    <w:rPr>
      <w:sz w:val="16"/>
      <w:szCs w:val="16"/>
    </w:rPr>
  </w:style>
  <w:style w:type="paragraph" w:styleId="CommentText">
    <w:name w:val="annotation text"/>
    <w:basedOn w:val="Normal"/>
    <w:link w:val="CommentTextChar"/>
    <w:uiPriority w:val="99"/>
    <w:semiHidden/>
    <w:unhideWhenUsed/>
    <w:rsid w:val="00D55D08"/>
    <w:pPr>
      <w:spacing w:line="240" w:lineRule="auto"/>
    </w:pPr>
    <w:rPr>
      <w:sz w:val="20"/>
      <w:szCs w:val="20"/>
    </w:rPr>
  </w:style>
  <w:style w:type="character" w:customStyle="1" w:styleId="CommentTextChar">
    <w:name w:val="Comment Text Char"/>
    <w:basedOn w:val="DefaultParagraphFont"/>
    <w:link w:val="CommentText"/>
    <w:uiPriority w:val="99"/>
    <w:semiHidden/>
    <w:rsid w:val="00D55D08"/>
    <w:rPr>
      <w:sz w:val="20"/>
      <w:szCs w:val="20"/>
    </w:rPr>
  </w:style>
  <w:style w:type="paragraph" w:styleId="CommentSubject">
    <w:name w:val="annotation subject"/>
    <w:basedOn w:val="CommentText"/>
    <w:next w:val="CommentText"/>
    <w:link w:val="CommentSubjectChar"/>
    <w:uiPriority w:val="99"/>
    <w:semiHidden/>
    <w:unhideWhenUsed/>
    <w:rsid w:val="00D55D08"/>
    <w:rPr>
      <w:b/>
      <w:bCs/>
    </w:rPr>
  </w:style>
  <w:style w:type="character" w:customStyle="1" w:styleId="CommentSubjectChar">
    <w:name w:val="Comment Subject Char"/>
    <w:basedOn w:val="CommentTextChar"/>
    <w:link w:val="CommentSubject"/>
    <w:uiPriority w:val="99"/>
    <w:semiHidden/>
    <w:rsid w:val="00D55D08"/>
    <w:rPr>
      <w:b/>
      <w:bCs/>
      <w:sz w:val="20"/>
      <w:szCs w:val="20"/>
    </w:rPr>
  </w:style>
  <w:style w:type="paragraph" w:styleId="BalloonText">
    <w:name w:val="Balloon Text"/>
    <w:basedOn w:val="Normal"/>
    <w:link w:val="BalloonTextChar"/>
    <w:uiPriority w:val="99"/>
    <w:semiHidden/>
    <w:unhideWhenUsed/>
    <w:rsid w:val="00D5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08"/>
    <w:rPr>
      <w:rFonts w:ascii="Segoe UI" w:hAnsi="Segoe UI" w:cs="Segoe UI"/>
      <w:sz w:val="18"/>
      <w:szCs w:val="18"/>
    </w:rPr>
  </w:style>
  <w:style w:type="paragraph" w:styleId="Revision">
    <w:name w:val="Revision"/>
    <w:hidden/>
    <w:uiPriority w:val="99"/>
    <w:semiHidden/>
    <w:rsid w:val="00C02DA1"/>
    <w:pPr>
      <w:spacing w:after="0" w:line="240" w:lineRule="auto"/>
    </w:pPr>
  </w:style>
  <w:style w:type="paragraph" w:styleId="Header">
    <w:name w:val="header"/>
    <w:basedOn w:val="Normal"/>
    <w:link w:val="HeaderChar"/>
    <w:uiPriority w:val="99"/>
    <w:unhideWhenUsed/>
    <w:rsid w:val="00C0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A1"/>
  </w:style>
  <w:style w:type="paragraph" w:styleId="Footer">
    <w:name w:val="footer"/>
    <w:basedOn w:val="Normal"/>
    <w:link w:val="FooterChar"/>
    <w:uiPriority w:val="99"/>
    <w:unhideWhenUsed/>
    <w:rsid w:val="00C0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A1"/>
  </w:style>
  <w:style w:type="character" w:styleId="Hyperlink">
    <w:name w:val="Hyperlink"/>
    <w:basedOn w:val="DefaultParagraphFont"/>
    <w:uiPriority w:val="99"/>
    <w:unhideWhenUsed/>
    <w:rsid w:val="000B6293"/>
    <w:rPr>
      <w:color w:val="0563C1" w:themeColor="hyperlink"/>
      <w:u w:val="single"/>
    </w:rPr>
  </w:style>
  <w:style w:type="character" w:styleId="UnresolvedMention">
    <w:name w:val="Unresolved Mention"/>
    <w:basedOn w:val="DefaultParagraphFont"/>
    <w:uiPriority w:val="99"/>
    <w:semiHidden/>
    <w:unhideWhenUsed/>
    <w:rsid w:val="000B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8EEF-82AF-42D3-A8D3-563FD89C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Resch</dc:creator>
  <cp:keywords/>
  <dc:description/>
  <cp:lastModifiedBy>NNEYLON</cp:lastModifiedBy>
  <cp:revision>2</cp:revision>
  <dcterms:created xsi:type="dcterms:W3CDTF">2020-06-09T17:41:00Z</dcterms:created>
  <dcterms:modified xsi:type="dcterms:W3CDTF">2020-06-09T17:41:00Z</dcterms:modified>
</cp:coreProperties>
</file>